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8931" w:type="dxa"/>
        <w:tblBorders>
          <w:top w:val="none" w:sz="0" w:space="0" w:color="auto"/>
          <w:left w:val="none" w:sz="0" w:space="0" w:color="auto"/>
          <w:bottom w:val="none" w:sz="0" w:space="0" w:color="auto"/>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DD1E22" w:rsidTr="00F76D01">
        <w:tc>
          <w:tcPr>
            <w:tcW w:w="8931" w:type="dxa"/>
          </w:tcPr>
          <w:p w:rsidR="00F76D01" w:rsidRDefault="00F76D01" w:rsidP="00F76D01">
            <w:pPr>
              <w:jc w:val="right"/>
              <w:rPr>
                <w:sz w:val="48"/>
                <w:szCs w:val="48"/>
              </w:rPr>
            </w:pPr>
            <w:r w:rsidRPr="00DD1E22">
              <w:rPr>
                <w:sz w:val="48"/>
                <w:szCs w:val="48"/>
              </w:rPr>
              <w:t>Paz Alejandra Fuentes Acevedo</w:t>
            </w:r>
          </w:p>
          <w:p w:rsidR="00F76D01" w:rsidRDefault="00DD1E22" w:rsidP="00DD1E22">
            <w:pPr>
              <w:pStyle w:val="Direccin1"/>
              <w:framePr w:w="0" w:wrap="auto" w:vAnchor="margin" w:hAnchor="text" w:xAlign="left" w:yAlign="inline"/>
              <w:ind w:left="-142" w:right="83"/>
              <w:jc w:val="right"/>
              <w:rPr>
                <w:rFonts w:ascii="Abadi MT Condensed Light" w:hAnsi="Abadi MT Condensed Light"/>
                <w:sz w:val="20"/>
                <w:szCs w:val="22"/>
              </w:rPr>
            </w:pPr>
            <w:r>
              <w:rPr>
                <w:rFonts w:ascii="Abadi MT Condensed Light" w:hAnsi="Abadi MT Condensed Light"/>
                <w:sz w:val="20"/>
                <w:szCs w:val="22"/>
              </w:rPr>
              <w:t xml:space="preserve">                            </w:t>
            </w:r>
          </w:p>
          <w:p w:rsidR="00DD1E22" w:rsidRPr="00DD1E22" w:rsidRDefault="00DD1E22" w:rsidP="00DD1E22">
            <w:pPr>
              <w:pStyle w:val="Direccin1"/>
              <w:framePr w:w="0" w:wrap="auto" w:vAnchor="margin" w:hAnchor="text" w:xAlign="left" w:yAlign="inline"/>
              <w:ind w:left="-142" w:right="83"/>
              <w:jc w:val="right"/>
              <w:rPr>
                <w:rFonts w:asciiTheme="minorHAnsi" w:hAnsiTheme="minorHAnsi"/>
                <w:sz w:val="20"/>
                <w:szCs w:val="22"/>
              </w:rPr>
            </w:pPr>
            <w:r>
              <w:rPr>
                <w:rFonts w:ascii="Abadi MT Condensed Light" w:hAnsi="Abadi MT Condensed Light"/>
                <w:sz w:val="20"/>
                <w:szCs w:val="22"/>
              </w:rPr>
              <w:t xml:space="preserve">  </w:t>
            </w:r>
            <w:r w:rsidRPr="00DD1E22">
              <w:rPr>
                <w:rFonts w:asciiTheme="minorHAnsi" w:hAnsiTheme="minorHAnsi"/>
                <w:sz w:val="20"/>
                <w:szCs w:val="22"/>
              </w:rPr>
              <w:t>paz_fuentes@hotmail.com</w:t>
            </w:r>
          </w:p>
          <w:p w:rsidR="00DD1E22" w:rsidRPr="00DD1E22" w:rsidRDefault="00DD1E22" w:rsidP="00DD1E22">
            <w:pPr>
              <w:ind w:right="78"/>
              <w:jc w:val="right"/>
            </w:pPr>
            <w:r w:rsidRPr="00DD1E22">
              <w:t>+56 9 8296 85 30</w:t>
            </w:r>
          </w:p>
          <w:p w:rsidR="00DD1E22" w:rsidRDefault="00DD1E22"/>
        </w:tc>
      </w:tr>
    </w:tbl>
    <w:p w:rsidR="0095141D" w:rsidRDefault="0095141D"/>
    <w:p w:rsidR="00DD1E22" w:rsidRDefault="00DD1E22"/>
    <w:tbl>
      <w:tblPr>
        <w:tblStyle w:val="Tablaconcuadrcula"/>
        <w:tblW w:w="96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39"/>
      </w:tblGrid>
      <w:tr w:rsidR="00887BD5" w:rsidRPr="00DD1E22" w:rsidTr="00CF7853">
        <w:trPr>
          <w:trHeight w:val="286"/>
        </w:trPr>
        <w:tc>
          <w:tcPr>
            <w:tcW w:w="1701" w:type="dxa"/>
            <w:shd w:val="clear" w:color="auto" w:fill="D9D9D9" w:themeFill="background1" w:themeFillShade="D9"/>
          </w:tcPr>
          <w:p w:rsidR="00887BD5" w:rsidRPr="00DD1E22" w:rsidRDefault="00887BD5" w:rsidP="003D1162">
            <w:pPr>
              <w:rPr>
                <w:b/>
              </w:rPr>
            </w:pPr>
            <w:r w:rsidRPr="00887BD5">
              <w:rPr>
                <w:b/>
              </w:rPr>
              <w:t>Perfil Profesional</w:t>
            </w:r>
          </w:p>
        </w:tc>
        <w:tc>
          <w:tcPr>
            <w:tcW w:w="7939" w:type="dxa"/>
            <w:vMerge w:val="restart"/>
          </w:tcPr>
          <w:p w:rsidR="00EA2264" w:rsidRDefault="00887BD5" w:rsidP="00DD1E22">
            <w:pPr>
              <w:jc w:val="both"/>
            </w:pPr>
            <w:r w:rsidRPr="00DD1E22">
              <w:t>Ingeniero Comercial de la Universidad de Viña del Mar y Magister en Marketing de la Universidad Complutense de Madrid, con más de 12 años de trayectoria con desarrollo laboral en asesorías en proyectos hospitalarios concesionados (260.000 m</w:t>
            </w:r>
            <w:r w:rsidRPr="00DD1E22">
              <w:rPr>
                <w:vertAlign w:val="superscript"/>
              </w:rPr>
              <w:t>2</w:t>
            </w:r>
            <w:r w:rsidRPr="00DD1E22">
              <w:t xml:space="preserve"> construidos), reingeniería de procesos, desarrollo e implementación de programas de marketing corporativo y gestión a nivel gerencial.</w:t>
            </w:r>
          </w:p>
          <w:p w:rsidR="00EA2264" w:rsidRPr="00EA2264" w:rsidRDefault="00EA2264" w:rsidP="00DD1E22">
            <w:pPr>
              <w:jc w:val="both"/>
              <w:rPr>
                <w:sz w:val="12"/>
                <w:szCs w:val="12"/>
              </w:rPr>
            </w:pPr>
          </w:p>
          <w:p w:rsidR="00887BD5" w:rsidRPr="00DD1E22" w:rsidRDefault="00887BD5" w:rsidP="00DD1E22">
            <w:pPr>
              <w:jc w:val="both"/>
              <w:rPr>
                <w:sz w:val="24"/>
                <w:szCs w:val="24"/>
              </w:rPr>
            </w:pPr>
            <w:r w:rsidRPr="00DD1E22">
              <w:t xml:space="preserve"> Profesional experta en la administración de recursos y optimización de procesos claves para la consecución de resultados. Posee destrezas personales para la resolución de problemas, capacitada para el manejo de personal, potenciando sus habilidades para el logro de metas. Gran capacidad para la toma de decisiones, enfocadas a resultados organizacionales.</w:t>
            </w:r>
          </w:p>
        </w:tc>
      </w:tr>
      <w:tr w:rsidR="00887BD5" w:rsidRPr="00DD1E22" w:rsidTr="00CF7853">
        <w:trPr>
          <w:trHeight w:val="1098"/>
        </w:trPr>
        <w:tc>
          <w:tcPr>
            <w:tcW w:w="1701" w:type="dxa"/>
          </w:tcPr>
          <w:p w:rsidR="00887BD5" w:rsidRPr="00887BD5" w:rsidRDefault="00887BD5" w:rsidP="003D1162">
            <w:pPr>
              <w:rPr>
                <w:b/>
              </w:rPr>
            </w:pPr>
          </w:p>
        </w:tc>
        <w:tc>
          <w:tcPr>
            <w:tcW w:w="7939" w:type="dxa"/>
            <w:vMerge/>
          </w:tcPr>
          <w:p w:rsidR="00887BD5" w:rsidRPr="00DD1E22" w:rsidRDefault="00887BD5" w:rsidP="00DD1E22">
            <w:pPr>
              <w:jc w:val="both"/>
            </w:pPr>
          </w:p>
        </w:tc>
      </w:tr>
    </w:tbl>
    <w:p w:rsidR="00DD1E22" w:rsidRDefault="00DD1E22"/>
    <w:tbl>
      <w:tblPr>
        <w:tblStyle w:val="Tablaconcuadrcula"/>
        <w:tblW w:w="96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
        <w:gridCol w:w="557"/>
        <w:gridCol w:w="993"/>
        <w:gridCol w:w="708"/>
        <w:gridCol w:w="6281"/>
        <w:gridCol w:w="708"/>
        <w:gridCol w:w="241"/>
      </w:tblGrid>
      <w:tr w:rsidR="00887BD5" w:rsidTr="00426EF0">
        <w:trPr>
          <w:gridAfter w:val="2"/>
          <w:wAfter w:w="949" w:type="dxa"/>
          <w:trHeight w:val="266"/>
        </w:trPr>
        <w:tc>
          <w:tcPr>
            <w:tcW w:w="1702" w:type="dxa"/>
            <w:gridSpan w:val="3"/>
            <w:shd w:val="clear" w:color="auto" w:fill="D9D9D9" w:themeFill="background1" w:themeFillShade="D9"/>
          </w:tcPr>
          <w:p w:rsidR="00887BD5" w:rsidRPr="00DD1E22" w:rsidRDefault="00887BD5" w:rsidP="00CF7853">
            <w:pPr>
              <w:ind w:left="-675" w:right="29" w:firstLine="675"/>
              <w:rPr>
                <w:b/>
              </w:rPr>
            </w:pPr>
            <w:r w:rsidRPr="00887BD5">
              <w:rPr>
                <w:b/>
              </w:rPr>
              <w:t>Formaci</w:t>
            </w:r>
            <w:r w:rsidRPr="00887BD5">
              <w:rPr>
                <w:b/>
                <w:shd w:val="clear" w:color="auto" w:fill="D9D9D9" w:themeFill="background1" w:themeFillShade="D9"/>
              </w:rPr>
              <w:t xml:space="preserve">ón  </w:t>
            </w:r>
          </w:p>
        </w:tc>
        <w:tc>
          <w:tcPr>
            <w:tcW w:w="6989" w:type="dxa"/>
            <w:gridSpan w:val="2"/>
          </w:tcPr>
          <w:p w:rsidR="00887BD5" w:rsidRPr="00DD1E22" w:rsidRDefault="00887BD5" w:rsidP="00DD1E22">
            <w:pPr>
              <w:rPr>
                <w:b/>
                <w:lang w:val="es-ES"/>
              </w:rPr>
            </w:pPr>
            <w:r w:rsidRPr="00DD1E22">
              <w:rPr>
                <w:b/>
                <w:lang w:val="es-ES"/>
              </w:rPr>
              <w:t>Master en Marketing</w:t>
            </w:r>
          </w:p>
          <w:p w:rsidR="00887BD5" w:rsidRPr="00DD1E22" w:rsidRDefault="00887BD5" w:rsidP="00DD1E22">
            <w:pPr>
              <w:rPr>
                <w:lang w:val="es-ES"/>
              </w:rPr>
            </w:pPr>
            <w:r w:rsidRPr="00DD1E22">
              <w:rPr>
                <w:lang w:val="es-ES"/>
              </w:rPr>
              <w:t xml:space="preserve">2002, Universidad Complutense de Madrid, España. </w:t>
            </w:r>
          </w:p>
          <w:p w:rsidR="00887BD5" w:rsidRPr="00DD1E22" w:rsidRDefault="00887BD5" w:rsidP="00DD1E22">
            <w:pPr>
              <w:rPr>
                <w:lang w:val="es-ES"/>
              </w:rPr>
            </w:pPr>
          </w:p>
          <w:p w:rsidR="00887BD5" w:rsidRPr="00DD1E22" w:rsidRDefault="00887BD5" w:rsidP="00DD1E22">
            <w:pPr>
              <w:rPr>
                <w:lang w:val="es-ES"/>
              </w:rPr>
            </w:pPr>
            <w:r w:rsidRPr="00DD1E22">
              <w:rPr>
                <w:b/>
                <w:lang w:val="es-ES"/>
              </w:rPr>
              <w:t>Ingeniero Comercial</w:t>
            </w:r>
          </w:p>
          <w:p w:rsidR="00887BD5" w:rsidRDefault="00887BD5" w:rsidP="00DD1E22">
            <w:r w:rsidRPr="00DD1E22">
              <w:rPr>
                <w:lang w:val="es-ES"/>
              </w:rPr>
              <w:t>1999, Universidad de Viña del Mar, Chile.</w:t>
            </w:r>
          </w:p>
        </w:tc>
      </w:tr>
      <w:tr w:rsidR="00887BD5" w:rsidTr="00426EF0">
        <w:trPr>
          <w:gridBefore w:val="2"/>
          <w:gridAfter w:val="1"/>
          <w:wBefore w:w="709" w:type="dxa"/>
          <w:wAfter w:w="241" w:type="dxa"/>
          <w:trHeight w:val="612"/>
        </w:trPr>
        <w:tc>
          <w:tcPr>
            <w:tcW w:w="1701" w:type="dxa"/>
            <w:gridSpan w:val="2"/>
            <w:shd w:val="clear" w:color="auto" w:fill="FFFFFF" w:themeFill="background1"/>
          </w:tcPr>
          <w:p w:rsidR="00887BD5" w:rsidRPr="00DD1E22" w:rsidRDefault="00887BD5">
            <w:pPr>
              <w:rPr>
                <w:b/>
                <w:highlight w:val="lightGray"/>
              </w:rPr>
            </w:pPr>
          </w:p>
        </w:tc>
        <w:tc>
          <w:tcPr>
            <w:tcW w:w="6989" w:type="dxa"/>
            <w:gridSpan w:val="2"/>
          </w:tcPr>
          <w:p w:rsidR="00887BD5" w:rsidRPr="00DD1E22" w:rsidRDefault="00887BD5" w:rsidP="00DD1E22">
            <w:pPr>
              <w:rPr>
                <w:b/>
                <w:lang w:val="es-ES"/>
              </w:rPr>
            </w:pPr>
          </w:p>
        </w:tc>
      </w:tr>
      <w:tr w:rsidR="00B026FF" w:rsidTr="00EA2264">
        <w:trPr>
          <w:trHeight w:val="679"/>
        </w:trPr>
        <w:tc>
          <w:tcPr>
            <w:tcW w:w="1702" w:type="dxa"/>
            <w:gridSpan w:val="3"/>
            <w:shd w:val="clear" w:color="auto" w:fill="D9D9D9" w:themeFill="background1" w:themeFillShade="D9"/>
          </w:tcPr>
          <w:p w:rsidR="00B026FF" w:rsidRPr="00887BD5" w:rsidRDefault="00B026FF">
            <w:pPr>
              <w:rPr>
                <w:b/>
              </w:rPr>
            </w:pPr>
            <w:r w:rsidRPr="00887BD5">
              <w:rPr>
                <w:b/>
              </w:rPr>
              <w:t>Resumen             de Experiencia Laboral</w:t>
            </w:r>
          </w:p>
        </w:tc>
        <w:tc>
          <w:tcPr>
            <w:tcW w:w="7938" w:type="dxa"/>
            <w:gridSpan w:val="4"/>
            <w:vMerge w:val="restart"/>
          </w:tcPr>
          <w:p w:rsidR="00B026FF" w:rsidRPr="00887BD5" w:rsidRDefault="00B026FF">
            <w:pPr>
              <w:rPr>
                <w:b/>
              </w:rPr>
            </w:pPr>
            <w:r w:rsidRPr="00887BD5">
              <w:rPr>
                <w:b/>
              </w:rPr>
              <w:t>Junio 2014 – a la fecha</w:t>
            </w:r>
          </w:p>
          <w:p w:rsidR="00B026FF" w:rsidRPr="00887BD5" w:rsidRDefault="00B026FF">
            <w:pPr>
              <w:rPr>
                <w:b/>
              </w:rPr>
            </w:pPr>
            <w:bookmarkStart w:id="0" w:name="_GoBack"/>
            <w:proofErr w:type="spellStart"/>
            <w:r w:rsidRPr="00887BD5">
              <w:rPr>
                <w:b/>
              </w:rPr>
              <w:t>Zañartu</w:t>
            </w:r>
            <w:proofErr w:type="spellEnd"/>
            <w:r w:rsidRPr="00887BD5">
              <w:rPr>
                <w:b/>
              </w:rPr>
              <w:t xml:space="preserve"> Ingenieros Consultores </w:t>
            </w:r>
            <w:proofErr w:type="spellStart"/>
            <w:r w:rsidRPr="00887BD5">
              <w:rPr>
                <w:b/>
              </w:rPr>
              <w:t>SpA</w:t>
            </w:r>
            <w:proofErr w:type="spellEnd"/>
          </w:p>
          <w:bookmarkEnd w:id="0"/>
          <w:p w:rsidR="00B026FF" w:rsidRPr="00887BD5" w:rsidRDefault="00B026FF">
            <w:pPr>
              <w:rPr>
                <w:b/>
              </w:rPr>
            </w:pPr>
            <w:r w:rsidRPr="00887BD5">
              <w:rPr>
                <w:b/>
              </w:rPr>
              <w:t>Proyecto Hospital de Antofagasta bajo sistema concesionado</w:t>
            </w:r>
          </w:p>
          <w:p w:rsidR="00B026FF" w:rsidRPr="00887BD5" w:rsidRDefault="00B026FF">
            <w:pPr>
              <w:rPr>
                <w:b/>
                <w:i/>
              </w:rPr>
            </w:pPr>
            <w:r w:rsidRPr="00887BD5">
              <w:rPr>
                <w:b/>
                <w:i/>
              </w:rPr>
              <w:t>Especialista en Integración y Operación Hospitalaria</w:t>
            </w:r>
          </w:p>
          <w:p w:rsidR="00B026FF" w:rsidRDefault="00B026FF" w:rsidP="00887BD5">
            <w:pPr>
              <w:jc w:val="both"/>
            </w:pPr>
            <w:r w:rsidRPr="00887BD5">
              <w:t xml:space="preserve">Presta asesoría técnica al Inspector Fiscal de Construcción (MOP) como encargada </w:t>
            </w:r>
            <w:r>
              <w:t>en</w:t>
            </w:r>
            <w:r w:rsidRPr="00887BD5">
              <w:t xml:space="preserve"> la realización del Reglamento de Servicio a la Obra para el Hospital de Antofagasta (120.000 m</w:t>
            </w:r>
            <w:r w:rsidRPr="00887BD5">
              <w:rPr>
                <w:vertAlign w:val="superscript"/>
              </w:rPr>
              <w:t>2</w:t>
            </w:r>
            <w:r>
              <w:t xml:space="preserve"> construidos), este reglamento c</w:t>
            </w:r>
            <w:r w:rsidRPr="00887BD5">
              <w:t>onsidera el tratamiento de</w:t>
            </w:r>
            <w:r>
              <w:t>,</w:t>
            </w:r>
            <w:r w:rsidRPr="00887BD5">
              <w:t xml:space="preserve"> al menos, 14 servicios concesionados (Aseo y Limpieza en general, Gestión de Residuos, Control de Vectores, Ropería y Guardarropía, Alimentación a Pacientes y Funcionarios, Mantenimiento a la Infraestructura, Administración y Mantenimiento de Mobiliario Clínico y No Clínico, Adquisición y Reposición de Mobiliario Clínico y No Clínico, Cafetería, Seguridad y Vigilancia, Estacionamiento para Funcionarios y Visitas, Infraestructura Tecnológica, entre otros) los cuales tienen implicancias </w:t>
            </w:r>
            <w:r>
              <w:t xml:space="preserve">tanto </w:t>
            </w:r>
            <w:r w:rsidRPr="00887BD5">
              <w:t xml:space="preserve">en el desarrollo del proyecto </w:t>
            </w:r>
            <w:r>
              <w:t>como</w:t>
            </w:r>
            <w:r w:rsidRPr="00887BD5">
              <w:t xml:space="preserve"> en su etapa de construcción </w:t>
            </w:r>
            <w:r>
              <w:t>y de</w:t>
            </w:r>
            <w:r w:rsidRPr="00887BD5">
              <w:t xml:space="preserve"> explotación. Coordina el desarrollo de los Programas Anuales de cada servicio y del Plan Anual de Mantenimiento  a la Infraestructura. </w:t>
            </w:r>
          </w:p>
          <w:p w:rsidR="00B026FF" w:rsidRPr="00EA2264" w:rsidRDefault="00B026FF" w:rsidP="00887BD5">
            <w:pPr>
              <w:jc w:val="both"/>
              <w:rPr>
                <w:sz w:val="12"/>
                <w:szCs w:val="12"/>
              </w:rPr>
            </w:pPr>
          </w:p>
          <w:p w:rsidR="00B026FF" w:rsidRDefault="00B026FF" w:rsidP="00887BD5">
            <w:pPr>
              <w:jc w:val="both"/>
            </w:pPr>
            <w:r w:rsidRPr="00887BD5">
              <w:t>Dentro de los servicios concesionados tiene especial desarrollo todo lo relacionado con el mobiliario no clínico y adosado, determinando cantidad, ubicación y materialidad en conjunto con el Servicio de Salud. Además, lleva la coordinación de la información entre la Inspección Fiscal y los referentes del Servicio de Salud, para posteriormente desarrollar reuniones de trabajo en conjunto con la Sociedad Concesionaria y el Servicio de Salud.</w:t>
            </w:r>
          </w:p>
          <w:p w:rsidR="00B026FF" w:rsidRDefault="00B026FF" w:rsidP="00887BD5">
            <w:pPr>
              <w:jc w:val="both"/>
            </w:pPr>
          </w:p>
          <w:p w:rsidR="00B026FF" w:rsidRDefault="00B026FF" w:rsidP="00887BD5">
            <w:pPr>
              <w:jc w:val="both"/>
            </w:pPr>
          </w:p>
          <w:p w:rsidR="00B026FF" w:rsidRPr="00887BD5" w:rsidRDefault="00B026FF" w:rsidP="00887BD5">
            <w:pPr>
              <w:rPr>
                <w:b/>
              </w:rPr>
            </w:pPr>
            <w:r w:rsidRPr="00887BD5">
              <w:rPr>
                <w:b/>
              </w:rPr>
              <w:lastRenderedPageBreak/>
              <w:t>Ju</w:t>
            </w:r>
            <w:r>
              <w:rPr>
                <w:b/>
              </w:rPr>
              <w:t>lio 2012</w:t>
            </w:r>
            <w:r w:rsidRPr="00887BD5">
              <w:rPr>
                <w:b/>
              </w:rPr>
              <w:t xml:space="preserve"> –</w:t>
            </w:r>
            <w:r>
              <w:rPr>
                <w:b/>
              </w:rPr>
              <w:t xml:space="preserve"> Mayo 2014</w:t>
            </w:r>
          </w:p>
          <w:p w:rsidR="00B026FF" w:rsidRPr="00887BD5" w:rsidRDefault="00B026FF" w:rsidP="00887BD5">
            <w:pPr>
              <w:rPr>
                <w:b/>
              </w:rPr>
            </w:pPr>
            <w:proofErr w:type="spellStart"/>
            <w:r w:rsidRPr="00887BD5">
              <w:rPr>
                <w:b/>
              </w:rPr>
              <w:t>Zañartu</w:t>
            </w:r>
            <w:proofErr w:type="spellEnd"/>
            <w:r w:rsidRPr="00887BD5">
              <w:rPr>
                <w:b/>
              </w:rPr>
              <w:t xml:space="preserve"> Ingenieros Consultores </w:t>
            </w:r>
            <w:proofErr w:type="spellStart"/>
            <w:r w:rsidRPr="00887BD5">
              <w:rPr>
                <w:b/>
              </w:rPr>
              <w:t>SpA</w:t>
            </w:r>
            <w:proofErr w:type="spellEnd"/>
          </w:p>
          <w:p w:rsidR="00B026FF" w:rsidRPr="00887BD5" w:rsidRDefault="00B026FF" w:rsidP="00887BD5">
            <w:pPr>
              <w:rPr>
                <w:b/>
              </w:rPr>
            </w:pPr>
            <w:r w:rsidRPr="00887BD5">
              <w:rPr>
                <w:b/>
              </w:rPr>
              <w:t>Proyecto Hospital</w:t>
            </w:r>
            <w:r>
              <w:rPr>
                <w:b/>
              </w:rPr>
              <w:t>es de Maipú y La Florida</w:t>
            </w:r>
            <w:r w:rsidRPr="00887BD5">
              <w:rPr>
                <w:b/>
              </w:rPr>
              <w:t xml:space="preserve"> bajo sistema concesionado</w:t>
            </w:r>
          </w:p>
          <w:p w:rsidR="00B026FF" w:rsidRDefault="00B026FF" w:rsidP="00887BD5">
            <w:pPr>
              <w:rPr>
                <w:b/>
                <w:i/>
              </w:rPr>
            </w:pPr>
            <w:r>
              <w:rPr>
                <w:b/>
                <w:i/>
              </w:rPr>
              <w:t>Encargada de Mobiliario No Clínico</w:t>
            </w:r>
          </w:p>
          <w:p w:rsidR="00B026FF" w:rsidRDefault="00B026FF" w:rsidP="00870979">
            <w:pPr>
              <w:jc w:val="both"/>
            </w:pPr>
            <w:r w:rsidRPr="00870979">
              <w:t>Presta asesoría técnica al Inspector Fiscal de Construcción (MOP) como encargada del proyecto de Mobiliario No Clínico del Hospital de Maipú y La Florida (140.000 m</w:t>
            </w:r>
            <w:r w:rsidRPr="00870979">
              <w:rPr>
                <w:vertAlign w:val="superscript"/>
              </w:rPr>
              <w:t>2</w:t>
            </w:r>
            <w:r w:rsidRPr="00870979">
              <w:t xml:space="preserve"> construidos). A través de reuniones de coordinación técnica determina los lineamientos para el diseño definitivo de dicho mobiliario según las normas y guías de diseño arquitectónico, además de velar por la correcta instalación de estos muebles y los accesorios en todos los recintos. </w:t>
            </w:r>
          </w:p>
          <w:p w:rsidR="00B026FF" w:rsidRPr="00EA2264" w:rsidRDefault="00B026FF" w:rsidP="00870979">
            <w:pPr>
              <w:jc w:val="both"/>
              <w:rPr>
                <w:sz w:val="12"/>
                <w:szCs w:val="12"/>
              </w:rPr>
            </w:pPr>
          </w:p>
          <w:p w:rsidR="00B026FF" w:rsidRDefault="00B026FF" w:rsidP="00870979">
            <w:pPr>
              <w:jc w:val="both"/>
            </w:pPr>
            <w:r w:rsidRPr="00870979">
              <w:t xml:space="preserve">En forma paralela, integra el Comité que vela por el cumplimiento de las Bases de Licitación de este contrato para la elaboración del Reglamento de Servicio de la Obra y de los Programas y Planes Anuales que la Sociedad Concesionaria aplicará para la prestación de todos los servicios asociados a la operación de los Hospitales de Maipú y La Florida. Además, fiscaliza el correcto funcionamiento de la integración de los servicios hospitalarios a través de la gestión y evaluación de las pruebas dirigidas a los servicios concesionados en conjunto con el Servicio de Salud Metropolitano, controlando el cumplimiento del Reglamento de Servicio de la Obra y de los Programas y Planes Anuales. </w:t>
            </w:r>
          </w:p>
          <w:p w:rsidR="00B026FF" w:rsidRPr="00EA2264" w:rsidRDefault="00B026FF" w:rsidP="00870979">
            <w:pPr>
              <w:jc w:val="both"/>
              <w:rPr>
                <w:sz w:val="12"/>
                <w:szCs w:val="12"/>
              </w:rPr>
            </w:pPr>
          </w:p>
          <w:p w:rsidR="00B026FF" w:rsidRDefault="00B026FF" w:rsidP="00870979">
            <w:pPr>
              <w:jc w:val="both"/>
            </w:pPr>
            <w:r w:rsidRPr="00870979">
              <w:t>Apoya la gestión del Ingeniero Residente y a la Inspección Fiscal de Explotación en la primera etapa del contrato de Explotación.</w:t>
            </w:r>
          </w:p>
          <w:p w:rsidR="00B026FF" w:rsidRPr="00870979" w:rsidRDefault="00B026FF" w:rsidP="00870979">
            <w:pPr>
              <w:jc w:val="both"/>
            </w:pPr>
          </w:p>
          <w:p w:rsidR="00B026FF" w:rsidRDefault="00B026FF" w:rsidP="00870979">
            <w:pPr>
              <w:jc w:val="both"/>
            </w:pPr>
          </w:p>
          <w:p w:rsidR="00B026FF" w:rsidRPr="00870979" w:rsidRDefault="00B026FF" w:rsidP="00870979">
            <w:pPr>
              <w:jc w:val="both"/>
              <w:rPr>
                <w:b/>
              </w:rPr>
            </w:pPr>
            <w:r w:rsidRPr="00870979">
              <w:rPr>
                <w:b/>
              </w:rPr>
              <w:t>Julio 2011 – Mayo 2012</w:t>
            </w:r>
          </w:p>
          <w:p w:rsidR="00B026FF" w:rsidRPr="00870979" w:rsidRDefault="00B026FF" w:rsidP="00870979">
            <w:pPr>
              <w:jc w:val="both"/>
              <w:rPr>
                <w:b/>
              </w:rPr>
            </w:pPr>
            <w:r w:rsidRPr="00870979">
              <w:rPr>
                <w:b/>
              </w:rPr>
              <w:t>360 Media</w:t>
            </w:r>
          </w:p>
          <w:p w:rsidR="00B026FF" w:rsidRPr="00870979" w:rsidRDefault="00B026FF" w:rsidP="00870979">
            <w:pPr>
              <w:jc w:val="both"/>
              <w:rPr>
                <w:b/>
                <w:i/>
              </w:rPr>
            </w:pPr>
            <w:r w:rsidRPr="00870979">
              <w:rPr>
                <w:b/>
                <w:i/>
              </w:rPr>
              <w:t>Consultora Marketing e Imagen Corporativa</w:t>
            </w:r>
          </w:p>
          <w:p w:rsidR="00B026FF" w:rsidRPr="00870979" w:rsidRDefault="00B026FF" w:rsidP="00870979">
            <w:pPr>
              <w:jc w:val="both"/>
              <w:rPr>
                <w:lang w:val="es-ES"/>
              </w:rPr>
            </w:pPr>
            <w:r w:rsidRPr="00870979">
              <w:rPr>
                <w:lang w:val="es-ES"/>
              </w:rPr>
              <w:t>Entrega asesoría en el diseño de planes de marketing. Generó instancias comunicacionales y de marketing con clientes, así como también logró nuevos proveedores y clientes relacionados con el área educacional. Actualizó y supervisó el diseño, gráfica y redacción de textos en página web y folletería.</w:t>
            </w:r>
          </w:p>
          <w:p w:rsidR="00B026FF" w:rsidRDefault="00B026FF" w:rsidP="00870979">
            <w:pPr>
              <w:jc w:val="both"/>
              <w:rPr>
                <w:lang w:val="es-ES"/>
              </w:rPr>
            </w:pPr>
          </w:p>
          <w:p w:rsidR="00B026FF" w:rsidRDefault="00B026FF" w:rsidP="00870979">
            <w:pPr>
              <w:jc w:val="both"/>
              <w:rPr>
                <w:lang w:val="es-ES"/>
              </w:rPr>
            </w:pPr>
          </w:p>
          <w:p w:rsidR="00B026FF" w:rsidRPr="00870979" w:rsidRDefault="00B026FF" w:rsidP="00870979">
            <w:pPr>
              <w:jc w:val="both"/>
              <w:rPr>
                <w:b/>
              </w:rPr>
            </w:pPr>
            <w:r>
              <w:rPr>
                <w:b/>
              </w:rPr>
              <w:t>Septiembre</w:t>
            </w:r>
            <w:r w:rsidRPr="00870979">
              <w:rPr>
                <w:b/>
              </w:rPr>
              <w:t xml:space="preserve"> 201</w:t>
            </w:r>
            <w:r>
              <w:rPr>
                <w:b/>
              </w:rPr>
              <w:t>0</w:t>
            </w:r>
            <w:r w:rsidRPr="00870979">
              <w:rPr>
                <w:b/>
              </w:rPr>
              <w:t xml:space="preserve"> – </w:t>
            </w:r>
            <w:r>
              <w:rPr>
                <w:b/>
              </w:rPr>
              <w:t>Abril</w:t>
            </w:r>
            <w:r w:rsidRPr="00870979">
              <w:rPr>
                <w:b/>
              </w:rPr>
              <w:t xml:space="preserve"> 201</w:t>
            </w:r>
            <w:r>
              <w:rPr>
                <w:b/>
              </w:rPr>
              <w:t>1</w:t>
            </w:r>
          </w:p>
          <w:p w:rsidR="00B026FF" w:rsidRPr="00870979" w:rsidRDefault="00B026FF" w:rsidP="00870979">
            <w:pPr>
              <w:jc w:val="both"/>
              <w:rPr>
                <w:b/>
              </w:rPr>
            </w:pPr>
            <w:r>
              <w:rPr>
                <w:b/>
              </w:rPr>
              <w:t xml:space="preserve">Asesorías e Inversiones </w:t>
            </w:r>
            <w:proofErr w:type="spellStart"/>
            <w:r>
              <w:rPr>
                <w:b/>
              </w:rPr>
              <w:t>Sputnik</w:t>
            </w:r>
            <w:proofErr w:type="spellEnd"/>
            <w:r>
              <w:rPr>
                <w:b/>
              </w:rPr>
              <w:t xml:space="preserve"> </w:t>
            </w:r>
            <w:proofErr w:type="spellStart"/>
            <w:r>
              <w:rPr>
                <w:b/>
              </w:rPr>
              <w:t>Ltda</w:t>
            </w:r>
            <w:proofErr w:type="spellEnd"/>
          </w:p>
          <w:p w:rsidR="00B026FF" w:rsidRDefault="00B026FF" w:rsidP="00870979">
            <w:pPr>
              <w:jc w:val="both"/>
              <w:rPr>
                <w:b/>
                <w:i/>
              </w:rPr>
            </w:pPr>
            <w:r>
              <w:rPr>
                <w:b/>
                <w:i/>
              </w:rPr>
              <w:t>Gerente de Locales</w:t>
            </w:r>
          </w:p>
          <w:p w:rsidR="00B026FF" w:rsidRDefault="00B026FF" w:rsidP="00870979">
            <w:pPr>
              <w:jc w:val="both"/>
              <w:rPr>
                <w:lang w:val="es-ES"/>
              </w:rPr>
            </w:pPr>
            <w:r w:rsidRPr="00870979">
              <w:rPr>
                <w:lang w:val="es-ES"/>
              </w:rPr>
              <w:t>Responsable de la administración de locales de comida, con más de 80 personas a cargo. Desarrolló reingeniería para el correcto funcionamiento de cada local a cargo de los supervisores, los que fueron debidamente capacitados según los nuevos procesos establecidos. Se ocupó del correcto pago de sueldos, salud y previsión, de las contrataciones y manejo de equipos de trabajo para el logro de metas de ventas. Implementó modelos, políticas y procesos de gestión de calidad de servicio. Encargada de cotizar y comprar tanto insumos mobiliarios propios del giro del negocio, además de controlar el pago a proveedores. Creó un programa para llevar el inventario diario en conjunto con la producción diaria. Capacitó a todos los empleados en la formación de herramientas de servicio, higiene y ventas. Realizó además la planificación anual de marketing para todos los locales y concreta alianzas estratégicas para el desarrollo de eventos.</w:t>
            </w:r>
          </w:p>
          <w:p w:rsidR="00B026FF" w:rsidRDefault="00B026FF" w:rsidP="00870979">
            <w:pPr>
              <w:jc w:val="both"/>
              <w:rPr>
                <w:lang w:val="es-ES"/>
              </w:rPr>
            </w:pPr>
          </w:p>
          <w:p w:rsidR="00B026FF" w:rsidRPr="00870979" w:rsidRDefault="00B026FF" w:rsidP="00870979">
            <w:pPr>
              <w:jc w:val="both"/>
              <w:rPr>
                <w:b/>
              </w:rPr>
            </w:pPr>
            <w:r>
              <w:rPr>
                <w:b/>
              </w:rPr>
              <w:t>Enero</w:t>
            </w:r>
            <w:r w:rsidRPr="00870979">
              <w:rPr>
                <w:b/>
              </w:rPr>
              <w:t xml:space="preserve"> 2010 – </w:t>
            </w:r>
            <w:r>
              <w:rPr>
                <w:b/>
              </w:rPr>
              <w:t>Agosto</w:t>
            </w:r>
            <w:r w:rsidRPr="00870979">
              <w:rPr>
                <w:b/>
              </w:rPr>
              <w:t xml:space="preserve"> 201</w:t>
            </w:r>
            <w:r>
              <w:rPr>
                <w:b/>
              </w:rPr>
              <w:t>0</w:t>
            </w:r>
          </w:p>
          <w:p w:rsidR="00B026FF" w:rsidRPr="00870979" w:rsidRDefault="00B026FF" w:rsidP="00870979">
            <w:pPr>
              <w:jc w:val="both"/>
              <w:rPr>
                <w:b/>
              </w:rPr>
            </w:pPr>
            <w:r>
              <w:rPr>
                <w:b/>
              </w:rPr>
              <w:t>De la cocina a la oficina</w:t>
            </w:r>
          </w:p>
          <w:p w:rsidR="00B026FF" w:rsidRDefault="00B026FF" w:rsidP="00870979">
            <w:pPr>
              <w:jc w:val="both"/>
              <w:rPr>
                <w:b/>
                <w:i/>
              </w:rPr>
            </w:pPr>
            <w:r>
              <w:rPr>
                <w:b/>
                <w:i/>
              </w:rPr>
              <w:t>Proyecto personal</w:t>
            </w:r>
          </w:p>
          <w:p w:rsidR="00B026FF" w:rsidRDefault="00B026FF" w:rsidP="00870979">
            <w:pPr>
              <w:jc w:val="both"/>
              <w:rPr>
                <w:lang w:val="es-ES"/>
              </w:rPr>
            </w:pPr>
            <w:r w:rsidRPr="00870979">
              <w:rPr>
                <w:lang w:val="es-ES"/>
              </w:rPr>
              <w:t>Implementa microempresa dedicada a la elaboración y reparto de colaciones, alimentos y frutas a distintas oficinas de Viña del Mar, captando una cartera de 120 clientes.</w:t>
            </w:r>
          </w:p>
          <w:p w:rsidR="00B026FF" w:rsidRDefault="00B026FF" w:rsidP="00870979">
            <w:pPr>
              <w:jc w:val="both"/>
              <w:rPr>
                <w:lang w:val="es-ES"/>
              </w:rPr>
            </w:pPr>
          </w:p>
          <w:p w:rsidR="00B026FF" w:rsidRPr="00870979" w:rsidRDefault="00B026FF" w:rsidP="00870979">
            <w:pPr>
              <w:jc w:val="both"/>
              <w:rPr>
                <w:b/>
              </w:rPr>
            </w:pPr>
            <w:r>
              <w:rPr>
                <w:b/>
              </w:rPr>
              <w:t>Septiembre</w:t>
            </w:r>
            <w:r w:rsidRPr="00870979">
              <w:rPr>
                <w:b/>
              </w:rPr>
              <w:t xml:space="preserve"> 20</w:t>
            </w:r>
            <w:r>
              <w:rPr>
                <w:b/>
              </w:rPr>
              <w:t>06</w:t>
            </w:r>
            <w:r w:rsidRPr="00870979">
              <w:rPr>
                <w:b/>
              </w:rPr>
              <w:t xml:space="preserve"> – </w:t>
            </w:r>
            <w:r>
              <w:rPr>
                <w:b/>
              </w:rPr>
              <w:t>Abril 2009</w:t>
            </w:r>
          </w:p>
          <w:p w:rsidR="00B026FF" w:rsidRPr="00870979" w:rsidRDefault="00B026FF" w:rsidP="00870979">
            <w:pPr>
              <w:jc w:val="both"/>
              <w:rPr>
                <w:b/>
              </w:rPr>
            </w:pPr>
            <w:r>
              <w:rPr>
                <w:b/>
              </w:rPr>
              <w:t>Interamericana Compañía de Seguros</w:t>
            </w:r>
          </w:p>
          <w:p w:rsidR="00B026FF" w:rsidRDefault="00B026FF" w:rsidP="00870979">
            <w:pPr>
              <w:jc w:val="both"/>
              <w:rPr>
                <w:b/>
                <w:i/>
              </w:rPr>
            </w:pPr>
            <w:r>
              <w:rPr>
                <w:b/>
                <w:i/>
              </w:rPr>
              <w:t>Asesor Financiero</w:t>
            </w:r>
          </w:p>
          <w:p w:rsidR="00B026FF" w:rsidRPr="00870979" w:rsidRDefault="00B026FF" w:rsidP="00870979">
            <w:pPr>
              <w:jc w:val="both"/>
              <w:rPr>
                <w:lang w:val="es-ES"/>
              </w:rPr>
            </w:pPr>
            <w:r w:rsidRPr="00870979">
              <w:rPr>
                <w:lang w:val="es-ES"/>
              </w:rPr>
              <w:t>Realiza asesorías a potenciales clientes sobre los diversos productos que maneja la compañía respecto a seguros de vida, APV, ahorro e inversiones. Gestiona el proceso comercial y mantiene la cartera de clientes vigentes, en promedio, de 25% mensual.</w:t>
            </w:r>
          </w:p>
          <w:p w:rsidR="00B026FF" w:rsidRDefault="00B026FF" w:rsidP="00870979">
            <w:pPr>
              <w:jc w:val="both"/>
              <w:rPr>
                <w:lang w:val="es-ES"/>
              </w:rPr>
            </w:pPr>
          </w:p>
          <w:p w:rsidR="00B026FF" w:rsidRPr="00870979" w:rsidRDefault="00B026FF" w:rsidP="00870979">
            <w:pPr>
              <w:jc w:val="both"/>
              <w:rPr>
                <w:b/>
              </w:rPr>
            </w:pPr>
            <w:r>
              <w:rPr>
                <w:b/>
              </w:rPr>
              <w:t>Marzo</w:t>
            </w:r>
            <w:r w:rsidRPr="00870979">
              <w:rPr>
                <w:b/>
              </w:rPr>
              <w:t xml:space="preserve"> 2006 – </w:t>
            </w:r>
            <w:r>
              <w:rPr>
                <w:b/>
              </w:rPr>
              <w:t>Septiembre</w:t>
            </w:r>
            <w:r w:rsidRPr="00870979">
              <w:rPr>
                <w:b/>
              </w:rPr>
              <w:t xml:space="preserve"> 200</w:t>
            </w:r>
            <w:r>
              <w:rPr>
                <w:b/>
              </w:rPr>
              <w:t>6</w:t>
            </w:r>
          </w:p>
          <w:p w:rsidR="00B026FF" w:rsidRPr="00870979" w:rsidRDefault="00B026FF" w:rsidP="00870979">
            <w:pPr>
              <w:jc w:val="both"/>
              <w:rPr>
                <w:b/>
              </w:rPr>
            </w:pPr>
            <w:r>
              <w:rPr>
                <w:b/>
              </w:rPr>
              <w:t xml:space="preserve">Guerra y </w:t>
            </w:r>
            <w:proofErr w:type="spellStart"/>
            <w:r>
              <w:rPr>
                <w:b/>
              </w:rPr>
              <w:t>Raby</w:t>
            </w:r>
            <w:proofErr w:type="spellEnd"/>
            <w:r>
              <w:rPr>
                <w:b/>
              </w:rPr>
              <w:t xml:space="preserve"> Asociados </w:t>
            </w:r>
            <w:proofErr w:type="spellStart"/>
            <w:r>
              <w:rPr>
                <w:b/>
              </w:rPr>
              <w:t>Ltda</w:t>
            </w:r>
            <w:proofErr w:type="spellEnd"/>
            <w:r>
              <w:rPr>
                <w:b/>
              </w:rPr>
              <w:t xml:space="preserve"> para Casinos Austria</w:t>
            </w:r>
          </w:p>
          <w:p w:rsidR="00B026FF" w:rsidRDefault="00B026FF" w:rsidP="00870979">
            <w:pPr>
              <w:jc w:val="both"/>
              <w:rPr>
                <w:b/>
                <w:i/>
              </w:rPr>
            </w:pPr>
            <w:r>
              <w:rPr>
                <w:b/>
                <w:i/>
              </w:rPr>
              <w:t>Encargada de Marketing del Proyecto Casinos Austria (en concurso para licitación)</w:t>
            </w:r>
          </w:p>
          <w:p w:rsidR="00B026FF" w:rsidRPr="00870979" w:rsidRDefault="00B026FF" w:rsidP="00870979">
            <w:pPr>
              <w:jc w:val="both"/>
            </w:pPr>
            <w:r w:rsidRPr="00870979">
              <w:t xml:space="preserve">Responsable por la planificación y la coordinación en la ejecución de las acciones de fidelización y relaciones públicas del proyecto Gran Casino Punta Arenas SA durante el proceso de licitación de casinos en Chile. Desarrolló el diseñó, ejecución y control de las distintas estrategias y actividades para el posicionamiento del proyecto en la zona. Planificó, produjo e implementó eventos y campañas de marketing. Gestionó el desarrollo de convenios y alianzas estratégicas; planificó las actividades promocionales y </w:t>
            </w:r>
            <w:proofErr w:type="spellStart"/>
            <w:r w:rsidRPr="00870979">
              <w:t>merchandising</w:t>
            </w:r>
            <w:proofErr w:type="spellEnd"/>
            <w:r w:rsidRPr="00870979">
              <w:t xml:space="preserve"> y manejó las relaciones públicas con la casa Matriz (Casinos Austria). </w:t>
            </w:r>
          </w:p>
          <w:p w:rsidR="00B026FF" w:rsidRDefault="00B026FF" w:rsidP="00870979">
            <w:pPr>
              <w:jc w:val="both"/>
            </w:pPr>
          </w:p>
          <w:p w:rsidR="00B026FF" w:rsidRPr="00870979" w:rsidRDefault="00B026FF" w:rsidP="00870979">
            <w:pPr>
              <w:jc w:val="both"/>
              <w:rPr>
                <w:b/>
              </w:rPr>
            </w:pPr>
            <w:r>
              <w:rPr>
                <w:b/>
              </w:rPr>
              <w:t>Julio</w:t>
            </w:r>
            <w:r w:rsidRPr="00870979">
              <w:rPr>
                <w:b/>
              </w:rPr>
              <w:t xml:space="preserve"> 200</w:t>
            </w:r>
            <w:r>
              <w:rPr>
                <w:b/>
              </w:rPr>
              <w:t>4</w:t>
            </w:r>
            <w:r w:rsidRPr="00870979">
              <w:rPr>
                <w:b/>
              </w:rPr>
              <w:t xml:space="preserve"> – </w:t>
            </w:r>
            <w:r>
              <w:rPr>
                <w:b/>
              </w:rPr>
              <w:t>Diciembre</w:t>
            </w:r>
            <w:r w:rsidRPr="00870979">
              <w:rPr>
                <w:b/>
              </w:rPr>
              <w:t xml:space="preserve"> 200</w:t>
            </w:r>
            <w:r>
              <w:rPr>
                <w:b/>
              </w:rPr>
              <w:t>5</w:t>
            </w:r>
          </w:p>
          <w:p w:rsidR="00B026FF" w:rsidRPr="00870979" w:rsidRDefault="00B026FF" w:rsidP="00870979">
            <w:pPr>
              <w:jc w:val="both"/>
              <w:rPr>
                <w:b/>
              </w:rPr>
            </w:pPr>
            <w:r>
              <w:rPr>
                <w:b/>
              </w:rPr>
              <w:t>Ilustre Municipalidad de Santo Domingo</w:t>
            </w:r>
          </w:p>
          <w:p w:rsidR="00B026FF" w:rsidRDefault="00B026FF" w:rsidP="00870979">
            <w:pPr>
              <w:jc w:val="both"/>
              <w:rPr>
                <w:b/>
                <w:i/>
              </w:rPr>
            </w:pPr>
            <w:r>
              <w:rPr>
                <w:b/>
                <w:i/>
              </w:rPr>
              <w:t>Asesoría profesional para PRODESAL</w:t>
            </w:r>
          </w:p>
          <w:p w:rsidR="00B026FF" w:rsidRDefault="00B026FF" w:rsidP="00B026FF">
            <w:pPr>
              <w:jc w:val="both"/>
              <w:rPr>
                <w:bCs/>
              </w:rPr>
            </w:pPr>
            <w:r w:rsidRPr="00870979">
              <w:rPr>
                <w:bCs/>
              </w:rPr>
              <w:t xml:space="preserve">Desarrolló plan comercial y diversos proyectos para distintos microempresarios relacionados con la agricultura, logrando además acuerdos para exportaciones de producciones de la zona a países europeos. Consigue premio </w:t>
            </w:r>
            <w:proofErr w:type="spellStart"/>
            <w:r w:rsidRPr="00870979">
              <w:rPr>
                <w:bCs/>
              </w:rPr>
              <w:t>Sercotec</w:t>
            </w:r>
            <w:proofErr w:type="spellEnd"/>
            <w:r w:rsidRPr="00870979">
              <w:rPr>
                <w:bCs/>
              </w:rPr>
              <w:t xml:space="preserve"> por proyecto de mujeres </w:t>
            </w:r>
            <w:proofErr w:type="spellStart"/>
            <w:r w:rsidRPr="00870979">
              <w:rPr>
                <w:bCs/>
              </w:rPr>
              <w:t>helicicultoras</w:t>
            </w:r>
            <w:proofErr w:type="spellEnd"/>
            <w:r w:rsidRPr="00870979">
              <w:rPr>
                <w:bCs/>
              </w:rPr>
              <w:t xml:space="preserve"> (criadoras de caracoles de jardín), con este premio se implementaron las oficinas comerciales, y procedió a la compra de mobiliario, artículos de oficina y materiales de construcción de invernaderos, llevando además el inventario de los materiales destinados a la crianza de caracoles. </w:t>
            </w:r>
          </w:p>
          <w:p w:rsidR="00B026FF" w:rsidRDefault="00B026FF" w:rsidP="00B026FF">
            <w:pPr>
              <w:jc w:val="both"/>
              <w:rPr>
                <w:bCs/>
              </w:rPr>
            </w:pPr>
          </w:p>
          <w:p w:rsidR="00B026FF" w:rsidRDefault="00B026FF" w:rsidP="00B026FF">
            <w:pPr>
              <w:jc w:val="both"/>
              <w:rPr>
                <w:bCs/>
              </w:rPr>
            </w:pPr>
          </w:p>
          <w:p w:rsidR="00B026FF" w:rsidRDefault="00B026FF" w:rsidP="00B026FF">
            <w:pPr>
              <w:jc w:val="both"/>
              <w:rPr>
                <w:bCs/>
              </w:rPr>
            </w:pPr>
          </w:p>
          <w:p w:rsidR="00B026FF" w:rsidRDefault="00B026FF" w:rsidP="00B026FF">
            <w:pPr>
              <w:jc w:val="both"/>
              <w:rPr>
                <w:bCs/>
              </w:rPr>
            </w:pPr>
          </w:p>
          <w:p w:rsidR="00B026FF" w:rsidRPr="00EE302B" w:rsidRDefault="00B026FF" w:rsidP="00B026FF">
            <w:pPr>
              <w:jc w:val="both"/>
              <w:rPr>
                <w:lang w:val="es-ES_tradnl"/>
              </w:rPr>
            </w:pPr>
            <w:r w:rsidRPr="00EE302B">
              <w:rPr>
                <w:lang w:val="es-ES_tradnl"/>
              </w:rPr>
              <w:t xml:space="preserve">Manejo avanzado de herramientas computacionales: Word, PowerPoint, Excel y </w:t>
            </w:r>
            <w:proofErr w:type="spellStart"/>
            <w:r w:rsidRPr="00EE302B">
              <w:rPr>
                <w:lang w:val="es-ES_tradnl"/>
              </w:rPr>
              <w:t>Sketchup</w:t>
            </w:r>
            <w:proofErr w:type="spellEnd"/>
            <w:r w:rsidRPr="00EE302B">
              <w:rPr>
                <w:lang w:val="es-ES_tradnl"/>
              </w:rPr>
              <w:t>. Idioma inglés y francés avanzado en comprensión oral y lectura, y medio en escritura y conversación.</w:t>
            </w:r>
          </w:p>
          <w:p w:rsidR="00B026FF" w:rsidRDefault="00B026FF" w:rsidP="00EA2264">
            <w:pPr>
              <w:jc w:val="both"/>
            </w:pPr>
          </w:p>
        </w:tc>
      </w:tr>
      <w:tr w:rsidR="00B026FF" w:rsidTr="00EA2264">
        <w:trPr>
          <w:trHeight w:val="4850"/>
        </w:trPr>
        <w:tc>
          <w:tcPr>
            <w:tcW w:w="1702" w:type="dxa"/>
            <w:gridSpan w:val="3"/>
          </w:tcPr>
          <w:p w:rsidR="00B026FF" w:rsidRPr="00887BD5" w:rsidRDefault="00B026FF">
            <w:pPr>
              <w:rPr>
                <w:b/>
              </w:rPr>
            </w:pPr>
          </w:p>
        </w:tc>
        <w:tc>
          <w:tcPr>
            <w:tcW w:w="7938" w:type="dxa"/>
            <w:gridSpan w:val="4"/>
            <w:vMerge/>
          </w:tcPr>
          <w:p w:rsidR="00B026FF" w:rsidRPr="00887BD5" w:rsidRDefault="00B026FF">
            <w:pPr>
              <w:rPr>
                <w:b/>
              </w:rPr>
            </w:pPr>
          </w:p>
        </w:tc>
      </w:tr>
      <w:tr w:rsidR="00B026FF" w:rsidTr="00EA2264">
        <w:trPr>
          <w:trHeight w:val="2944"/>
        </w:trPr>
        <w:tc>
          <w:tcPr>
            <w:tcW w:w="1702" w:type="dxa"/>
            <w:gridSpan w:val="3"/>
          </w:tcPr>
          <w:p w:rsidR="00B026FF" w:rsidRPr="00887BD5" w:rsidRDefault="00B026FF">
            <w:pPr>
              <w:rPr>
                <w:b/>
              </w:rPr>
            </w:pPr>
          </w:p>
        </w:tc>
        <w:tc>
          <w:tcPr>
            <w:tcW w:w="7938" w:type="dxa"/>
            <w:gridSpan w:val="4"/>
            <w:vMerge/>
          </w:tcPr>
          <w:p w:rsidR="00B026FF" w:rsidRPr="00887BD5" w:rsidRDefault="00B026FF">
            <w:pPr>
              <w:rPr>
                <w:b/>
              </w:rPr>
            </w:pPr>
          </w:p>
        </w:tc>
      </w:tr>
      <w:tr w:rsidR="00B026FF" w:rsidTr="00EA2264">
        <w:trPr>
          <w:trHeight w:val="2253"/>
        </w:trPr>
        <w:tc>
          <w:tcPr>
            <w:tcW w:w="1702" w:type="dxa"/>
            <w:gridSpan w:val="3"/>
          </w:tcPr>
          <w:p w:rsidR="00B026FF" w:rsidRPr="00887BD5" w:rsidRDefault="00B026FF">
            <w:pPr>
              <w:rPr>
                <w:b/>
              </w:rPr>
            </w:pPr>
          </w:p>
        </w:tc>
        <w:tc>
          <w:tcPr>
            <w:tcW w:w="7938" w:type="dxa"/>
            <w:gridSpan w:val="4"/>
            <w:vMerge/>
          </w:tcPr>
          <w:p w:rsidR="00B026FF" w:rsidRPr="00887BD5" w:rsidRDefault="00B026FF">
            <w:pPr>
              <w:rPr>
                <w:b/>
              </w:rPr>
            </w:pPr>
          </w:p>
        </w:tc>
      </w:tr>
      <w:tr w:rsidR="00B026FF" w:rsidTr="00EA2264">
        <w:trPr>
          <w:trHeight w:val="2253"/>
        </w:trPr>
        <w:tc>
          <w:tcPr>
            <w:tcW w:w="1702" w:type="dxa"/>
            <w:gridSpan w:val="3"/>
          </w:tcPr>
          <w:p w:rsidR="00B026FF" w:rsidRPr="00887BD5" w:rsidRDefault="00B026FF">
            <w:pPr>
              <w:rPr>
                <w:b/>
              </w:rPr>
            </w:pPr>
          </w:p>
        </w:tc>
        <w:tc>
          <w:tcPr>
            <w:tcW w:w="7938" w:type="dxa"/>
            <w:gridSpan w:val="4"/>
            <w:vMerge/>
          </w:tcPr>
          <w:p w:rsidR="00B026FF" w:rsidRPr="00887BD5" w:rsidRDefault="00B026FF">
            <w:pPr>
              <w:rPr>
                <w:b/>
              </w:rPr>
            </w:pPr>
          </w:p>
        </w:tc>
      </w:tr>
      <w:tr w:rsidR="00B026FF" w:rsidTr="00EA2264">
        <w:trPr>
          <w:trHeight w:val="2253"/>
        </w:trPr>
        <w:tc>
          <w:tcPr>
            <w:tcW w:w="1702" w:type="dxa"/>
            <w:gridSpan w:val="3"/>
          </w:tcPr>
          <w:p w:rsidR="00B026FF" w:rsidRPr="00887BD5" w:rsidRDefault="00B026FF">
            <w:pPr>
              <w:rPr>
                <w:b/>
              </w:rPr>
            </w:pPr>
          </w:p>
        </w:tc>
        <w:tc>
          <w:tcPr>
            <w:tcW w:w="7938" w:type="dxa"/>
            <w:gridSpan w:val="4"/>
            <w:vMerge/>
          </w:tcPr>
          <w:p w:rsidR="00B026FF" w:rsidRPr="00887BD5" w:rsidRDefault="00B026FF">
            <w:pPr>
              <w:rPr>
                <w:b/>
              </w:rPr>
            </w:pPr>
          </w:p>
        </w:tc>
      </w:tr>
      <w:tr w:rsidR="00B026FF" w:rsidTr="00B026FF">
        <w:trPr>
          <w:trHeight w:val="2911"/>
        </w:trPr>
        <w:tc>
          <w:tcPr>
            <w:tcW w:w="1702" w:type="dxa"/>
            <w:gridSpan w:val="3"/>
          </w:tcPr>
          <w:p w:rsidR="00B026FF" w:rsidRPr="00887BD5" w:rsidRDefault="00B026FF">
            <w:pPr>
              <w:rPr>
                <w:b/>
              </w:rPr>
            </w:pPr>
          </w:p>
        </w:tc>
        <w:tc>
          <w:tcPr>
            <w:tcW w:w="7938" w:type="dxa"/>
            <w:gridSpan w:val="4"/>
            <w:vMerge/>
          </w:tcPr>
          <w:p w:rsidR="00B026FF" w:rsidRPr="00887BD5" w:rsidRDefault="00B026FF">
            <w:pPr>
              <w:rPr>
                <w:b/>
              </w:rPr>
            </w:pPr>
          </w:p>
        </w:tc>
      </w:tr>
      <w:tr w:rsidR="00B026FF" w:rsidTr="00EA2264">
        <w:trPr>
          <w:trHeight w:val="3327"/>
        </w:trPr>
        <w:tc>
          <w:tcPr>
            <w:tcW w:w="1702" w:type="dxa"/>
            <w:gridSpan w:val="3"/>
          </w:tcPr>
          <w:p w:rsidR="00B026FF" w:rsidRPr="00887BD5" w:rsidRDefault="00B026FF">
            <w:pPr>
              <w:rPr>
                <w:b/>
              </w:rPr>
            </w:pPr>
          </w:p>
        </w:tc>
        <w:tc>
          <w:tcPr>
            <w:tcW w:w="7938" w:type="dxa"/>
            <w:gridSpan w:val="4"/>
            <w:vMerge/>
          </w:tcPr>
          <w:p w:rsidR="00B026FF" w:rsidRPr="00887BD5" w:rsidRDefault="00B026FF">
            <w:pPr>
              <w:rPr>
                <w:b/>
              </w:rPr>
            </w:pPr>
          </w:p>
        </w:tc>
      </w:tr>
      <w:tr w:rsidR="00B026FF" w:rsidTr="00B026FF">
        <w:trPr>
          <w:trHeight w:val="2253"/>
        </w:trPr>
        <w:tc>
          <w:tcPr>
            <w:tcW w:w="1702" w:type="dxa"/>
            <w:gridSpan w:val="3"/>
          </w:tcPr>
          <w:p w:rsidR="00B026FF" w:rsidRPr="00887BD5" w:rsidRDefault="00B026FF">
            <w:pPr>
              <w:rPr>
                <w:b/>
              </w:rPr>
            </w:pPr>
          </w:p>
        </w:tc>
        <w:tc>
          <w:tcPr>
            <w:tcW w:w="7938" w:type="dxa"/>
            <w:gridSpan w:val="4"/>
            <w:vMerge/>
          </w:tcPr>
          <w:p w:rsidR="00B026FF" w:rsidRPr="00887BD5" w:rsidRDefault="00B026FF">
            <w:pPr>
              <w:rPr>
                <w:b/>
              </w:rPr>
            </w:pPr>
          </w:p>
        </w:tc>
      </w:tr>
      <w:tr w:rsidR="00B026FF" w:rsidTr="00B026FF">
        <w:trPr>
          <w:trHeight w:val="2253"/>
        </w:trPr>
        <w:tc>
          <w:tcPr>
            <w:tcW w:w="1702" w:type="dxa"/>
            <w:gridSpan w:val="3"/>
          </w:tcPr>
          <w:p w:rsidR="00B026FF" w:rsidRPr="00887BD5" w:rsidRDefault="00B026FF">
            <w:pPr>
              <w:rPr>
                <w:b/>
              </w:rPr>
            </w:pPr>
          </w:p>
        </w:tc>
        <w:tc>
          <w:tcPr>
            <w:tcW w:w="7938" w:type="dxa"/>
            <w:gridSpan w:val="4"/>
            <w:vMerge/>
          </w:tcPr>
          <w:p w:rsidR="00B026FF" w:rsidRPr="00887BD5" w:rsidRDefault="00B026FF">
            <w:pPr>
              <w:rPr>
                <w:b/>
              </w:rPr>
            </w:pPr>
          </w:p>
        </w:tc>
      </w:tr>
      <w:tr w:rsidR="00B026FF" w:rsidTr="00B026FF">
        <w:trPr>
          <w:trHeight w:val="694"/>
        </w:trPr>
        <w:tc>
          <w:tcPr>
            <w:tcW w:w="1702" w:type="dxa"/>
            <w:gridSpan w:val="3"/>
            <w:shd w:val="clear" w:color="auto" w:fill="BFBFBF" w:themeFill="background1" w:themeFillShade="BF"/>
          </w:tcPr>
          <w:p w:rsidR="00B026FF" w:rsidRPr="00887BD5" w:rsidRDefault="00B026FF">
            <w:pPr>
              <w:rPr>
                <w:b/>
              </w:rPr>
            </w:pPr>
            <w:r>
              <w:rPr>
                <w:b/>
              </w:rPr>
              <w:t>C</w:t>
            </w:r>
            <w:r w:rsidRPr="00F76D01">
              <w:rPr>
                <w:b/>
              </w:rPr>
              <w:t>onocimientos Adicionales</w:t>
            </w:r>
          </w:p>
        </w:tc>
        <w:tc>
          <w:tcPr>
            <w:tcW w:w="7938" w:type="dxa"/>
            <w:gridSpan w:val="4"/>
            <w:vMerge/>
          </w:tcPr>
          <w:p w:rsidR="00B026FF" w:rsidRPr="00887BD5" w:rsidRDefault="00B026FF">
            <w:pPr>
              <w:rPr>
                <w:b/>
              </w:rPr>
            </w:pPr>
          </w:p>
        </w:tc>
      </w:tr>
      <w:tr w:rsidR="00B026FF" w:rsidTr="00B026FF">
        <w:trPr>
          <w:trHeight w:val="693"/>
        </w:trPr>
        <w:tc>
          <w:tcPr>
            <w:tcW w:w="1702" w:type="dxa"/>
            <w:gridSpan w:val="3"/>
            <w:shd w:val="clear" w:color="auto" w:fill="auto"/>
          </w:tcPr>
          <w:p w:rsidR="00B026FF" w:rsidRDefault="00B026FF">
            <w:pPr>
              <w:rPr>
                <w:b/>
              </w:rPr>
            </w:pPr>
          </w:p>
        </w:tc>
        <w:tc>
          <w:tcPr>
            <w:tcW w:w="7938" w:type="dxa"/>
            <w:gridSpan w:val="4"/>
            <w:vMerge/>
          </w:tcPr>
          <w:p w:rsidR="00B026FF" w:rsidRPr="00887BD5" w:rsidRDefault="00B026FF">
            <w:pPr>
              <w:rPr>
                <w:b/>
              </w:rPr>
            </w:pPr>
          </w:p>
        </w:tc>
      </w:tr>
      <w:tr w:rsidR="00B026FF" w:rsidTr="00B026FF">
        <w:trPr>
          <w:trHeight w:val="1253"/>
        </w:trPr>
        <w:tc>
          <w:tcPr>
            <w:tcW w:w="1702" w:type="dxa"/>
            <w:gridSpan w:val="3"/>
          </w:tcPr>
          <w:p w:rsidR="00B026FF" w:rsidRDefault="00B026FF">
            <w:pPr>
              <w:rPr>
                <w:b/>
              </w:rPr>
            </w:pPr>
          </w:p>
        </w:tc>
        <w:tc>
          <w:tcPr>
            <w:tcW w:w="7938" w:type="dxa"/>
            <w:gridSpan w:val="4"/>
            <w:vMerge/>
          </w:tcPr>
          <w:p w:rsidR="00B026FF" w:rsidRPr="00887BD5" w:rsidRDefault="00B026FF">
            <w:pPr>
              <w:rPr>
                <w:b/>
              </w:rPr>
            </w:pPr>
          </w:p>
        </w:tc>
      </w:tr>
      <w:tr w:rsidR="00B026FF" w:rsidTr="00B026FF">
        <w:trPr>
          <w:trHeight w:val="296"/>
        </w:trPr>
        <w:tc>
          <w:tcPr>
            <w:tcW w:w="1702" w:type="dxa"/>
            <w:gridSpan w:val="3"/>
          </w:tcPr>
          <w:p w:rsidR="00B026FF" w:rsidRPr="00887BD5" w:rsidRDefault="00B026FF">
            <w:pPr>
              <w:rPr>
                <w:b/>
              </w:rPr>
            </w:pPr>
          </w:p>
        </w:tc>
        <w:tc>
          <w:tcPr>
            <w:tcW w:w="7938" w:type="dxa"/>
            <w:gridSpan w:val="4"/>
            <w:vMerge/>
          </w:tcPr>
          <w:p w:rsidR="00B026FF" w:rsidRPr="00887BD5" w:rsidRDefault="00B026FF">
            <w:pPr>
              <w:rPr>
                <w:b/>
              </w:rPr>
            </w:pPr>
          </w:p>
        </w:tc>
      </w:tr>
      <w:tr w:rsidR="00B026FF" w:rsidTr="00B026FF">
        <w:trPr>
          <w:trHeight w:val="63"/>
        </w:trPr>
        <w:tc>
          <w:tcPr>
            <w:tcW w:w="1702" w:type="dxa"/>
            <w:gridSpan w:val="3"/>
            <w:shd w:val="clear" w:color="auto" w:fill="auto"/>
          </w:tcPr>
          <w:p w:rsidR="00B026FF" w:rsidRPr="00887BD5" w:rsidRDefault="00B026FF">
            <w:pPr>
              <w:rPr>
                <w:b/>
              </w:rPr>
            </w:pPr>
          </w:p>
        </w:tc>
        <w:tc>
          <w:tcPr>
            <w:tcW w:w="7938" w:type="dxa"/>
            <w:gridSpan w:val="4"/>
            <w:vMerge/>
          </w:tcPr>
          <w:p w:rsidR="00B026FF" w:rsidRPr="00887BD5" w:rsidRDefault="00B026FF">
            <w:pPr>
              <w:rPr>
                <w:b/>
              </w:rPr>
            </w:pPr>
          </w:p>
        </w:tc>
      </w:tr>
      <w:tr w:rsidR="00B026FF" w:rsidTr="00B026FF">
        <w:trPr>
          <w:gridBefore w:val="1"/>
          <w:wBefore w:w="152" w:type="dxa"/>
          <w:trHeight w:val="486"/>
        </w:trPr>
        <w:tc>
          <w:tcPr>
            <w:tcW w:w="1550" w:type="dxa"/>
            <w:gridSpan w:val="2"/>
          </w:tcPr>
          <w:p w:rsidR="00B026FF" w:rsidRPr="00F76D01" w:rsidRDefault="00B026FF" w:rsidP="00CF7853">
            <w:pPr>
              <w:rPr>
                <w:b/>
              </w:rPr>
            </w:pPr>
          </w:p>
        </w:tc>
        <w:tc>
          <w:tcPr>
            <w:tcW w:w="7938" w:type="dxa"/>
            <w:gridSpan w:val="4"/>
            <w:vMerge w:val="restart"/>
          </w:tcPr>
          <w:p w:rsidR="00B026FF" w:rsidRPr="00EE302B" w:rsidRDefault="00B026FF" w:rsidP="00B026FF">
            <w:pPr>
              <w:jc w:val="both"/>
              <w:rPr>
                <w:lang w:val="es-ES_tradnl"/>
              </w:rPr>
            </w:pPr>
          </w:p>
        </w:tc>
      </w:tr>
      <w:tr w:rsidR="00B026FF" w:rsidTr="00B026FF">
        <w:trPr>
          <w:gridBefore w:val="1"/>
          <w:wBefore w:w="152" w:type="dxa"/>
          <w:trHeight w:val="486"/>
        </w:trPr>
        <w:tc>
          <w:tcPr>
            <w:tcW w:w="1550" w:type="dxa"/>
            <w:gridSpan w:val="2"/>
          </w:tcPr>
          <w:p w:rsidR="00B026FF" w:rsidRDefault="00B026FF"/>
        </w:tc>
        <w:tc>
          <w:tcPr>
            <w:tcW w:w="7938" w:type="dxa"/>
            <w:gridSpan w:val="4"/>
            <w:vMerge/>
          </w:tcPr>
          <w:p w:rsidR="00B026FF" w:rsidRPr="00EE302B" w:rsidRDefault="00B026FF" w:rsidP="00EE302B">
            <w:pPr>
              <w:rPr>
                <w:lang w:val="es-ES_tradnl"/>
              </w:rPr>
            </w:pPr>
          </w:p>
        </w:tc>
      </w:tr>
    </w:tbl>
    <w:p w:rsidR="00EE302B" w:rsidRDefault="00EE302B"/>
    <w:sectPr w:rsidR="00EE302B" w:rsidSect="00CF7853">
      <w:pgSz w:w="12240" w:h="15840"/>
      <w:pgMar w:top="1417" w:right="1701"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badi MT Condensed Light">
    <w:altName w:val="Gill Sans MT Condensed"/>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22"/>
    <w:rsid w:val="003D1162"/>
    <w:rsid w:val="00426EF0"/>
    <w:rsid w:val="00705328"/>
    <w:rsid w:val="00870979"/>
    <w:rsid w:val="00887BD5"/>
    <w:rsid w:val="0095141D"/>
    <w:rsid w:val="00B026FF"/>
    <w:rsid w:val="00CF7853"/>
    <w:rsid w:val="00DD1E22"/>
    <w:rsid w:val="00EA2264"/>
    <w:rsid w:val="00EE302B"/>
    <w:rsid w:val="00F76D01"/>
    <w:rsid w:val="00FC6F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9704F-E0A9-4597-B8AA-2BC97658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CL"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E22"/>
  </w:style>
  <w:style w:type="paragraph" w:styleId="Ttulo1">
    <w:name w:val="heading 1"/>
    <w:basedOn w:val="Normal"/>
    <w:next w:val="Normal"/>
    <w:link w:val="Ttulo1Car"/>
    <w:uiPriority w:val="9"/>
    <w:qFormat/>
    <w:rsid w:val="00DD1E22"/>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D1E2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D1E2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DD1E22"/>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D1E2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DD1E2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DD1E22"/>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semiHidden/>
    <w:unhideWhenUsed/>
    <w:qFormat/>
    <w:rsid w:val="00DD1E22"/>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DD1E2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D1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cin1">
    <w:name w:val="Dirección 1"/>
    <w:basedOn w:val="Normal"/>
    <w:rsid w:val="00DD1E22"/>
    <w:pPr>
      <w:framePr w:w="2400" w:wrap="notBeside" w:vAnchor="page" w:hAnchor="page" w:x="8065" w:y="1009" w:anchorLock="1"/>
      <w:spacing w:after="0" w:line="200" w:lineRule="atLeast"/>
    </w:pPr>
    <w:rPr>
      <w:rFonts w:ascii="Times New Roman" w:eastAsia="Times New Roman" w:hAnsi="Times New Roman" w:cs="Times New Roman"/>
      <w:sz w:val="16"/>
      <w:lang w:val="es-ES" w:eastAsia="es-ES"/>
    </w:rPr>
  </w:style>
  <w:style w:type="paragraph" w:customStyle="1" w:styleId="Institucin">
    <w:name w:val="Institución"/>
    <w:basedOn w:val="Normal"/>
    <w:next w:val="Normal"/>
    <w:autoRedefine/>
    <w:rsid w:val="00DD1E22"/>
    <w:pPr>
      <w:tabs>
        <w:tab w:val="left" w:pos="1440"/>
        <w:tab w:val="right" w:pos="6480"/>
      </w:tabs>
      <w:spacing w:before="120" w:after="0" w:line="240" w:lineRule="auto"/>
      <w:ind w:right="85"/>
      <w:jc w:val="both"/>
    </w:pPr>
    <w:rPr>
      <w:rFonts w:eastAsia="Times New Roman" w:cs="Arial"/>
      <w:color w:val="000000"/>
      <w:lang w:val="es-ES" w:eastAsia="es-ES"/>
    </w:rPr>
  </w:style>
  <w:style w:type="character" w:customStyle="1" w:styleId="Ttulo1Car">
    <w:name w:val="Título 1 Car"/>
    <w:basedOn w:val="Fuentedeprrafopredeter"/>
    <w:link w:val="Ttulo1"/>
    <w:uiPriority w:val="9"/>
    <w:rsid w:val="00DD1E2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DD1E22"/>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DD1E22"/>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DD1E22"/>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D1E22"/>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DD1E22"/>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DD1E22"/>
    <w:rPr>
      <w:rFonts w:asciiTheme="majorHAnsi" w:eastAsiaTheme="majorEastAsia" w:hAnsiTheme="majorHAnsi" w:cstheme="majorBidi"/>
      <w:i/>
      <w:iCs/>
      <w:color w:val="1F4E79" w:themeColor="accent1" w:themeShade="80"/>
      <w:sz w:val="21"/>
      <w:szCs w:val="21"/>
    </w:rPr>
  </w:style>
  <w:style w:type="character" w:customStyle="1" w:styleId="Ttulo8Car">
    <w:name w:val="Título 8 Car"/>
    <w:basedOn w:val="Fuentedeprrafopredeter"/>
    <w:link w:val="Ttulo8"/>
    <w:uiPriority w:val="9"/>
    <w:semiHidden/>
    <w:rsid w:val="00DD1E22"/>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DD1E22"/>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DD1E22"/>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D1E22"/>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PuestoCar">
    <w:name w:val="Puesto Car"/>
    <w:basedOn w:val="Fuentedeprrafopredeter"/>
    <w:link w:val="Puesto"/>
    <w:uiPriority w:val="10"/>
    <w:rsid w:val="00DD1E22"/>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ar"/>
    <w:uiPriority w:val="11"/>
    <w:qFormat/>
    <w:rsid w:val="00DD1E22"/>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D1E22"/>
    <w:rPr>
      <w:rFonts w:asciiTheme="majorHAnsi" w:eastAsiaTheme="majorEastAsia" w:hAnsiTheme="majorHAnsi" w:cstheme="majorBidi"/>
      <w:sz w:val="24"/>
      <w:szCs w:val="24"/>
    </w:rPr>
  </w:style>
  <w:style w:type="character" w:styleId="Textoennegrita">
    <w:name w:val="Strong"/>
    <w:basedOn w:val="Fuentedeprrafopredeter"/>
    <w:uiPriority w:val="22"/>
    <w:qFormat/>
    <w:rsid w:val="00DD1E22"/>
    <w:rPr>
      <w:b/>
      <w:bCs/>
    </w:rPr>
  </w:style>
  <w:style w:type="character" w:styleId="nfasis">
    <w:name w:val="Emphasis"/>
    <w:basedOn w:val="Fuentedeprrafopredeter"/>
    <w:uiPriority w:val="20"/>
    <w:qFormat/>
    <w:rsid w:val="00DD1E22"/>
    <w:rPr>
      <w:i/>
      <w:iCs/>
    </w:rPr>
  </w:style>
  <w:style w:type="paragraph" w:styleId="Sinespaciado">
    <w:name w:val="No Spacing"/>
    <w:uiPriority w:val="1"/>
    <w:qFormat/>
    <w:rsid w:val="00DD1E22"/>
    <w:pPr>
      <w:spacing w:after="0" w:line="240" w:lineRule="auto"/>
    </w:pPr>
  </w:style>
  <w:style w:type="paragraph" w:styleId="Cita">
    <w:name w:val="Quote"/>
    <w:basedOn w:val="Normal"/>
    <w:next w:val="Normal"/>
    <w:link w:val="CitaCar"/>
    <w:uiPriority w:val="29"/>
    <w:qFormat/>
    <w:rsid w:val="00DD1E22"/>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D1E22"/>
    <w:rPr>
      <w:i/>
      <w:iCs/>
      <w:color w:val="404040" w:themeColor="text1" w:themeTint="BF"/>
    </w:rPr>
  </w:style>
  <w:style w:type="paragraph" w:styleId="Citadestacada">
    <w:name w:val="Intense Quote"/>
    <w:basedOn w:val="Normal"/>
    <w:next w:val="Normal"/>
    <w:link w:val="CitadestacadaCar"/>
    <w:uiPriority w:val="30"/>
    <w:qFormat/>
    <w:rsid w:val="00DD1E22"/>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DD1E22"/>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DD1E22"/>
    <w:rPr>
      <w:i/>
      <w:iCs/>
      <w:color w:val="404040" w:themeColor="text1" w:themeTint="BF"/>
    </w:rPr>
  </w:style>
  <w:style w:type="character" w:styleId="nfasisintenso">
    <w:name w:val="Intense Emphasis"/>
    <w:basedOn w:val="Fuentedeprrafopredeter"/>
    <w:uiPriority w:val="21"/>
    <w:qFormat/>
    <w:rsid w:val="00DD1E22"/>
    <w:rPr>
      <w:b/>
      <w:bCs/>
      <w:i/>
      <w:iCs/>
    </w:rPr>
  </w:style>
  <w:style w:type="character" w:styleId="Referenciasutil">
    <w:name w:val="Subtle Reference"/>
    <w:basedOn w:val="Fuentedeprrafopredeter"/>
    <w:uiPriority w:val="31"/>
    <w:qFormat/>
    <w:rsid w:val="00DD1E22"/>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D1E22"/>
    <w:rPr>
      <w:b/>
      <w:bCs/>
      <w:smallCaps/>
      <w:spacing w:val="5"/>
      <w:u w:val="single"/>
    </w:rPr>
  </w:style>
  <w:style w:type="character" w:styleId="Ttulodellibro">
    <w:name w:val="Book Title"/>
    <w:basedOn w:val="Fuentedeprrafopredeter"/>
    <w:uiPriority w:val="33"/>
    <w:qFormat/>
    <w:rsid w:val="00DD1E22"/>
    <w:rPr>
      <w:b/>
      <w:bCs/>
      <w:smallCaps/>
    </w:rPr>
  </w:style>
  <w:style w:type="paragraph" w:styleId="TtulodeTDC">
    <w:name w:val="TOC Heading"/>
    <w:basedOn w:val="Ttulo1"/>
    <w:next w:val="Normal"/>
    <w:uiPriority w:val="39"/>
    <w:semiHidden/>
    <w:unhideWhenUsed/>
    <w:qFormat/>
    <w:rsid w:val="00DD1E22"/>
    <w:pPr>
      <w:outlineLvl w:val="9"/>
    </w:pPr>
  </w:style>
  <w:style w:type="paragraph" w:styleId="Textoindependiente">
    <w:name w:val="Body Text"/>
    <w:basedOn w:val="Normal"/>
    <w:link w:val="TextoindependienteCar"/>
    <w:rsid w:val="00887BD5"/>
    <w:pPr>
      <w:spacing w:after="220" w:line="220" w:lineRule="atLeast"/>
      <w:ind w:right="-360"/>
    </w:pPr>
    <w:rPr>
      <w:rFonts w:ascii="Times New Roman" w:eastAsia="Times New Roman" w:hAnsi="Times New Roman" w:cs="Times New Roman"/>
      <w:lang w:val="es-ES" w:eastAsia="es-ES"/>
    </w:rPr>
  </w:style>
  <w:style w:type="character" w:customStyle="1" w:styleId="TextoindependienteCar">
    <w:name w:val="Texto independiente Car"/>
    <w:basedOn w:val="Fuentedeprrafopredeter"/>
    <w:link w:val="Textoindependiente"/>
    <w:rsid w:val="00887BD5"/>
    <w:rPr>
      <w:rFonts w:ascii="Times New Roman" w:eastAsia="Times New Roman" w:hAnsi="Times New Roman" w:cs="Times New Roman"/>
      <w:lang w:val="es-ES" w:eastAsia="es-ES"/>
    </w:rPr>
  </w:style>
  <w:style w:type="paragraph" w:styleId="Textoindependiente2">
    <w:name w:val="Body Text 2"/>
    <w:basedOn w:val="Normal"/>
    <w:link w:val="Textoindependiente2Car"/>
    <w:uiPriority w:val="99"/>
    <w:semiHidden/>
    <w:unhideWhenUsed/>
    <w:rsid w:val="00870979"/>
    <w:pPr>
      <w:spacing w:line="480" w:lineRule="auto"/>
    </w:pPr>
  </w:style>
  <w:style w:type="character" w:customStyle="1" w:styleId="Textoindependiente2Car">
    <w:name w:val="Texto independiente 2 Car"/>
    <w:basedOn w:val="Fuentedeprrafopredeter"/>
    <w:link w:val="Textoindependiente2"/>
    <w:uiPriority w:val="99"/>
    <w:semiHidden/>
    <w:rsid w:val="0087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6528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Paz Fuentes Acevedo</cp:lastModifiedBy>
  <cp:revision>2</cp:revision>
  <dcterms:created xsi:type="dcterms:W3CDTF">2015-10-14T11:59:00Z</dcterms:created>
  <dcterms:modified xsi:type="dcterms:W3CDTF">2015-10-14T11:59:00Z</dcterms:modified>
</cp:coreProperties>
</file>